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杭州电子科技大学教育发展基金会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廉政风险防控制度</w:t>
      </w:r>
      <w:bookmarkStart w:id="0" w:name="_GoBack"/>
      <w:bookmarkEnd w:id="0"/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after="1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第一章 总 则 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第一条</w:t>
      </w:r>
      <w:r>
        <w:rPr>
          <w:rFonts w:hint="eastAsia" w:ascii="仿宋" w:hAnsi="仿宋" w:eastAsia="仿宋" w:cs="仿宋"/>
          <w:sz w:val="28"/>
          <w:szCs w:val="28"/>
        </w:rPr>
        <w:t xml:space="preserve"> 为贯彻落实党中央、民政部从严治党、党风廉政建设和反腐败工作部署要求，全面提升廉政风险防控工作科学化、制度化和规范化水平，扎实推进本基金会惩治和预防腐败体系建设，加强对员工和日常工作运行的制约监督，结合我单位工作实际，制定本制度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after="11"/>
        <w:rPr>
          <w:sz w:val="28"/>
          <w:szCs w:val="28"/>
        </w:rPr>
      </w:pPr>
      <w:r>
        <w:rPr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二</w:t>
      </w:r>
      <w:r>
        <w:rPr>
          <w:b/>
          <w:bCs/>
          <w:sz w:val="28"/>
          <w:szCs w:val="28"/>
        </w:rPr>
        <w:t>章</w:t>
      </w:r>
      <w:r>
        <w:rPr>
          <w:rFonts w:hint="eastAsia"/>
          <w:b/>
          <w:bCs/>
          <w:sz w:val="28"/>
          <w:szCs w:val="28"/>
        </w:rPr>
        <w:t xml:space="preserve"> 指导思想</w:t>
      </w:r>
    </w:p>
    <w:p>
      <w:pPr>
        <w:pStyle w:val="2"/>
        <w:spacing w:after="11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第二条</w:t>
      </w:r>
      <w:r>
        <w:rPr>
          <w:rFonts w:hint="eastAsia"/>
          <w:sz w:val="28"/>
          <w:szCs w:val="28"/>
        </w:rPr>
        <w:t xml:space="preserve"> 本办法的指导思想以监督管理为核心，加强内控机制建设为重点，围绕“人、财、物、事”等关键环节，盯紧重要岗位人员选任、经费收支、资金使用、项目运作、对外合作等重点领域和重大事项，着力构建决策、执行、责任追究和监督有机结合廉政风险防控机制。</w:t>
      </w:r>
    </w:p>
    <w:p/>
    <w:p>
      <w:pPr>
        <w:pStyle w:val="2"/>
        <w:spacing w:after="11"/>
        <w:rPr>
          <w:sz w:val="28"/>
          <w:szCs w:val="28"/>
        </w:rPr>
      </w:pPr>
      <w:r>
        <w:rPr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三</w:t>
      </w:r>
      <w:r>
        <w:rPr>
          <w:b/>
          <w:bCs/>
          <w:sz w:val="28"/>
          <w:szCs w:val="28"/>
        </w:rPr>
        <w:t>章</w:t>
      </w:r>
      <w:r>
        <w:rPr>
          <w:rFonts w:hint="eastAsia"/>
          <w:b/>
          <w:bCs/>
          <w:sz w:val="28"/>
          <w:szCs w:val="28"/>
        </w:rPr>
        <w:t xml:space="preserve"> 工作原则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第三条</w:t>
      </w:r>
      <w:r>
        <w:rPr>
          <w:rFonts w:hint="eastAsia" w:ascii="仿宋" w:hAnsi="仿宋" w:eastAsia="仿宋" w:cs="仿宋"/>
          <w:sz w:val="28"/>
          <w:szCs w:val="28"/>
        </w:rPr>
        <w:t xml:space="preserve"> 坚持党建引领、服务发展大局的原则。践行全面从严治党要求，把廉政风险防控工作融入到日常管理之中，规范内部运行机制，健全内部治理结构。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第四条</w:t>
      </w:r>
      <w:r>
        <w:rPr>
          <w:rFonts w:hint="eastAsia" w:ascii="仿宋" w:hAnsi="仿宋" w:eastAsia="仿宋" w:cs="仿宋"/>
          <w:sz w:val="28"/>
          <w:szCs w:val="28"/>
        </w:rPr>
        <w:t xml:space="preserve"> 坚持突出重点、健全规范的原则。围绕廉政风险易发多发的重点部门和关键流程，提高预警防控措施，强化风险防控的针对性和有效性。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第五条</w:t>
      </w:r>
      <w:r>
        <w:rPr>
          <w:rFonts w:hint="eastAsia" w:ascii="仿宋" w:hAnsi="仿宋" w:eastAsia="仿宋" w:cs="仿宋"/>
          <w:sz w:val="28"/>
          <w:szCs w:val="28"/>
        </w:rPr>
        <w:t xml:space="preserve"> 坚持以防为主、防控结合的原则，积极从源头上预防腐败。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第六条</w:t>
      </w:r>
      <w:r>
        <w:rPr>
          <w:rFonts w:hint="eastAsia" w:ascii="仿宋" w:hAnsi="仿宋" w:eastAsia="仿宋" w:cs="仿宋"/>
          <w:sz w:val="28"/>
          <w:szCs w:val="28"/>
        </w:rPr>
        <w:t xml:space="preserve"> 坚持公开透明、依法处置的原则。按照法律法规要求，做好慈善工作。对防控中发现的问题，依法依规处置。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after="1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第四章 廉政风险防控管理要求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第七条 </w:t>
      </w:r>
      <w:r>
        <w:rPr>
          <w:rFonts w:hint="eastAsia" w:ascii="仿宋" w:hAnsi="仿宋" w:eastAsia="仿宋" w:cs="仿宋"/>
          <w:sz w:val="28"/>
          <w:szCs w:val="28"/>
        </w:rPr>
        <w:t>全体工作人员必须严格遵守党和国家的法律法规，增强法纪观念、职业道德观念，自觉抵制各种不正之风，做到廉洁奉公，遵纪守法。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第八条</w:t>
      </w:r>
      <w:r>
        <w:rPr>
          <w:rFonts w:hint="eastAsia" w:ascii="仿宋" w:hAnsi="仿宋" w:eastAsia="仿宋" w:cs="仿宋"/>
          <w:sz w:val="28"/>
          <w:szCs w:val="28"/>
        </w:rPr>
        <w:t xml:space="preserve"> 严格遵守《慈善法》、民政部各项政策法规和浙江中医药大学教育基金会各项规章制度。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第九条</w:t>
      </w:r>
      <w:r>
        <w:rPr>
          <w:rFonts w:hint="eastAsia" w:ascii="仿宋" w:hAnsi="仿宋" w:eastAsia="仿宋" w:cs="仿宋"/>
          <w:sz w:val="28"/>
          <w:szCs w:val="28"/>
        </w:rPr>
        <w:t xml:space="preserve"> 全体工作人员要加强自律和监督，做到自重、自省、自警、自律，做遵纪守法的模范，守护基金会声誉。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第十条</w:t>
      </w:r>
      <w:r>
        <w:rPr>
          <w:rFonts w:hint="eastAsia" w:ascii="仿宋" w:hAnsi="仿宋" w:eastAsia="仿宋" w:cs="仿宋"/>
          <w:sz w:val="28"/>
          <w:szCs w:val="28"/>
        </w:rPr>
        <w:t xml:space="preserve"> 全体工作人员应熟知本岗位的廉政风险，清楚知晓本岗位不可触及的廉洁风险底线所在，遵守职业道德。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第十一条</w:t>
      </w:r>
      <w:r>
        <w:rPr>
          <w:rFonts w:hint="eastAsia" w:ascii="仿宋" w:hAnsi="仿宋" w:eastAsia="仿宋" w:cs="仿宋"/>
          <w:sz w:val="28"/>
          <w:szCs w:val="28"/>
        </w:rPr>
        <w:t xml:space="preserve"> 党组织要加强教育引导和督促检查，从源头防范化解廉政风险。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第十二条</w:t>
      </w:r>
      <w:r>
        <w:rPr>
          <w:rFonts w:hint="eastAsia" w:ascii="仿宋" w:hAnsi="仿宋" w:eastAsia="仿宋" w:cs="仿宋"/>
          <w:sz w:val="28"/>
          <w:szCs w:val="28"/>
        </w:rPr>
        <w:t xml:space="preserve"> 严禁利用职务之便营私舞弊、侵吞单位财产、索取和收受回扣。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第十三条</w:t>
      </w:r>
      <w:r>
        <w:rPr>
          <w:rFonts w:hint="eastAsia" w:ascii="仿宋" w:hAnsi="仿宋" w:eastAsia="仿宋" w:cs="仿宋"/>
          <w:sz w:val="28"/>
          <w:szCs w:val="28"/>
        </w:rPr>
        <w:t xml:space="preserve"> 不准在各种公务活动中以各种名义和变相形式收受礼金和有价证券。</w:t>
      </w:r>
    </w:p>
    <w:p>
      <w:pPr>
        <w:ind w:firstLine="562" w:firstLineChars="200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第十四条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本办法由基金会负责解释，自公布之日起执行。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MGNiZDZmMTFhOTIwZDFjMWM0M2RhZjg5OWI0Y2EifQ=="/>
  </w:docVars>
  <w:rsids>
    <w:rsidRoot w:val="17FE6950"/>
    <w:rsid w:val="00014ED9"/>
    <w:rsid w:val="00FB7840"/>
    <w:rsid w:val="045C1E4C"/>
    <w:rsid w:val="0A8155F1"/>
    <w:rsid w:val="17FE6950"/>
    <w:rsid w:val="277F4C4F"/>
    <w:rsid w:val="313A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9"/>
    <w:pPr>
      <w:keepNext/>
      <w:keepLines/>
      <w:spacing w:after="183" w:line="259" w:lineRule="auto"/>
      <w:ind w:left="15" w:hanging="10"/>
      <w:jc w:val="center"/>
      <w:outlineLvl w:val="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2023-12-19T12:02:00Z</dcterms:created>
  <dc:creator>LJL</dc:creator>
  <cp:lastModifiedBy>LJL</cp:lastModifiedBy>
  <dcterms:modified xsi:type="dcterms:W3CDTF">2023-12-29T01:41:26Z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2A016A11BAA94141A578A11AB2ABAC52_13</vt:lpwstr>
  </property>
</Properties>
</file>