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杭州电子科技大学教育发展基金会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投资管理办法</w:t>
      </w:r>
      <w:bookmarkStart w:id="0" w:name="_GoBack"/>
      <w:bookmarkEnd w:id="0"/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after="1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第一章 总 则 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</w:rPr>
        <w:t xml:space="preserve"> 为规范杭州电子科技大学教育发展基金会（以下简称“基金会”）投资活动，防范资金运用风险，实现资金的保值增值，使资金更好地用于基金会章程规定的公益事业，促进基金会持续健康发展，根据《中华人民共和国慈善法》、《基金会管理条例》、民政部《关于规范基金会行为的若干规定（试行）》、《慈善组织保值增值投资活动管理暂行办法》、《杭州电子科技大学教育发展基金会章程》等有关规定，结合基金会实际，制定本办法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</w:rPr>
        <w:t xml:space="preserve"> 基金会的投资行为必须符合本会的宗旨，维护基金会的信誉，遵守与捐赠人和受助人的约定。资金增值部分除按照捐赠协议约定用途或从事公益活动外，可以列支党建、筹资、管理等费用。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第三条</w:t>
      </w:r>
      <w:r>
        <w:rPr>
          <w:rFonts w:hint="eastAsia" w:ascii="仿宋" w:hAnsi="仿宋" w:eastAsia="仿宋" w:cs="仿宋"/>
          <w:sz w:val="28"/>
          <w:szCs w:val="28"/>
        </w:rPr>
        <w:t xml:space="preserve"> 基金会的投资行为必须符合合法性原则，严格遵守国家法律法规，尊重投资的市场规律。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第四条</w:t>
      </w:r>
      <w:r>
        <w:rPr>
          <w:rFonts w:hint="eastAsia" w:ascii="仿宋" w:hAnsi="仿宋" w:eastAsia="仿宋" w:cs="仿宋"/>
          <w:sz w:val="28"/>
          <w:szCs w:val="28"/>
        </w:rPr>
        <w:t xml:space="preserve"> 运作资金以安全稳健为基本原则，在合理防范风险的前提下尽量提高投资回报，主要用于银行存款竞争性存放和购买低风险保本型理财产品。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第五条</w:t>
      </w:r>
      <w:r>
        <w:rPr>
          <w:rFonts w:hint="eastAsia" w:ascii="仿宋" w:hAnsi="仿宋" w:eastAsia="仿宋" w:cs="仿宋"/>
          <w:sz w:val="28"/>
          <w:szCs w:val="28"/>
        </w:rPr>
        <w:t xml:space="preserve"> 基金会的投资行为必须符合有效性原则，在合法、安全的前提下，实现资金运作收益的最大化。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第二章 投资的决策、管理和监督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第六条</w:t>
      </w:r>
      <w:r>
        <w:rPr>
          <w:rFonts w:hint="eastAsia" w:ascii="仿宋" w:hAnsi="仿宋" w:eastAsia="仿宋" w:cs="仿宋"/>
          <w:sz w:val="28"/>
          <w:szCs w:val="28"/>
        </w:rPr>
        <w:t xml:space="preserve"> 理事会是基金会的最高投资决策机构，理事会对投资政策、风险控制、合规管理履行以下职责：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（一）审定投资管理制度及风险控制机制；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（二）确定投资管理机构的选择标准；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（三）决定年度投资计划；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（四）检查、监督投资管理工作；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（五）其他有关投资管理的职责。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第七条</w:t>
      </w:r>
      <w:r>
        <w:rPr>
          <w:rFonts w:hint="eastAsia" w:ascii="仿宋" w:hAnsi="仿宋" w:eastAsia="仿宋" w:cs="仿宋"/>
          <w:sz w:val="28"/>
          <w:szCs w:val="28"/>
        </w:rPr>
        <w:t xml:space="preserve"> 秘书处应全面了解投资活动情况，敦促财务部门及时回收到期的本金、利息和分红等收益，依法依规及时进行会计核算。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第八条</w:t>
      </w:r>
      <w:r>
        <w:rPr>
          <w:rFonts w:hint="eastAsia" w:ascii="仿宋" w:hAnsi="仿宋" w:eastAsia="仿宋" w:cs="仿宋"/>
          <w:sz w:val="28"/>
          <w:szCs w:val="28"/>
        </w:rPr>
        <w:t xml:space="preserve"> 资金运作由基金会秘书处提出投资理财建议方案，在每年理事会上报请理事会审议后授权秘书处执行。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第九条</w:t>
      </w:r>
      <w:r>
        <w:rPr>
          <w:rFonts w:hint="eastAsia" w:ascii="仿宋" w:hAnsi="仿宋" w:eastAsia="仿宋" w:cs="仿宋"/>
          <w:sz w:val="28"/>
          <w:szCs w:val="28"/>
        </w:rPr>
        <w:t xml:space="preserve"> 监事会负责对投资行为进行监督。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第三章  附则</w:t>
      </w:r>
    </w:p>
    <w:p>
      <w:pPr>
        <w:ind w:left="-2"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第十条</w:t>
      </w:r>
      <w:r>
        <w:rPr>
          <w:rFonts w:hint="eastAsia" w:ascii="仿宋" w:hAnsi="仿宋" w:eastAsia="仿宋" w:cs="仿宋"/>
          <w:sz w:val="28"/>
          <w:szCs w:val="28"/>
        </w:rPr>
        <w:t xml:space="preserve"> 本办法由基金会负责解释，自公布之日起执行。</w:t>
      </w:r>
    </w:p>
    <w:p>
      <w:pPr>
        <w:ind w:left="-2"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GNiZDZmMTFhOTIwZDFjMWM0M2RhZjg5OWI0Y2EifQ=="/>
  </w:docVars>
  <w:rsids>
    <w:rsidRoot w:val="55997426"/>
    <w:rsid w:val="0040441A"/>
    <w:rsid w:val="00DD5E6A"/>
    <w:rsid w:val="07EC0690"/>
    <w:rsid w:val="11DB5D5A"/>
    <w:rsid w:val="18ED6A14"/>
    <w:rsid w:val="2A514A02"/>
    <w:rsid w:val="350727B3"/>
    <w:rsid w:val="3F244446"/>
    <w:rsid w:val="55997426"/>
    <w:rsid w:val="58C660C2"/>
    <w:rsid w:val="638210D3"/>
    <w:rsid w:val="66F60B53"/>
    <w:rsid w:val="6735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after="183" w:line="259" w:lineRule="auto"/>
      <w:ind w:left="15" w:hanging="10"/>
      <w:jc w:val="center"/>
      <w:outlineLvl w:val="0"/>
    </w:pPr>
    <w:rPr>
      <w:rFonts w:ascii="仿宋" w:hAnsi="仿宋" w:eastAsia="仿宋" w:cs="仿宋"/>
      <w:color w:val="000000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10</TotalTime>
  <ScaleCrop>false</ScaleCrop>
  <LinksUpToDate>false</LinksUpToDate>
  <CharactersWithSpaces>803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2023-12-19T08:38:00Z</dcterms:created>
  <dc:creator>LJL</dc:creator>
  <cp:lastModifiedBy>LJL</cp:lastModifiedBy>
  <dcterms:modified xsi:type="dcterms:W3CDTF">2023-12-29T01:38:30Z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81F74BD81F21432D939B6BEB5DB00279_13</vt:lpwstr>
  </property>
</Properties>
</file>